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pour éclairer de manière optimale les issues de secours et les voies d'évacuation, par exemple en cas de montage mural. Version en couleur anthracite.</w:t>
      </w: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-15 °C à 40 °C °C</w:t>
      </w:r>
    </w:p>
    <w:p>
      <w:pPr/>
      <w:r>
        <w:rPr/>
        <w:t xml:space="preserve">Température permise en mode veille: -15 °C à 40 °C °C</w:t>
      </w:r>
    </w:p>
    <w:p>
      <w:pPr/>
      <w:r>
        <w:rPr/>
        <w:t xml:space="preserve">Pictogramme: Nein</w:t>
      </w:r>
    </w:p>
    <w:p>
      <w:pPr/>
    </w:p>
    <w:p>
      <w:pPr/>
      <w:r>
        <w:rPr/>
        <w:t xml:space="preserve">Numéro d'article: QCW423SC-AZ-BM-TT</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07C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2026-07-14T05:21:24+02:00</dcterms:created>
  <dcterms:modified xsi:type="dcterms:W3CDTF">2026-07-14T05:21:24+02:00</dcterms:modified>
</cp:coreProperties>
</file>

<file path=docProps/custom.xml><?xml version="1.0" encoding="utf-8"?>
<Properties xmlns="http://schemas.openxmlformats.org/officeDocument/2006/custom-properties" xmlns:vt="http://schemas.openxmlformats.org/officeDocument/2006/docPropsVTypes"/>
</file>