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35 °C °C</w:t>
      </w:r>
    </w:p>
    <w:p>
      <w:pPr/>
      <w:r>
        <w:rPr/>
        <w:t xml:space="preserve">Température permise en mode veille: 0 °C à 35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0,3 W W</w:t>
      </w:r>
    </w:p>
    <w:p>
      <w:pPr/>
      <w:r>
        <w:rPr/>
        <w:t xml:space="preserve">Flux lumineux en mode de secours: 240 lm lm</w:t>
      </w:r>
    </w:p>
    <w:p>
      <w:pPr/>
    </w:p>
    <w:p>
      <w:pPr/>
      <w:r>
        <w:rPr/>
        <w:t xml:space="preserve">Section de raccordement: 1,5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PXDK413SC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E136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2026-08-04T07:55:02+02:00</dcterms:created>
  <dcterms:modified xsi:type="dcterms:W3CDTF">2026-08-04T07:55:02+02:00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