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Diamètre: 160 mm</w:t>
      </w:r>
    </w:p>
    <w:p>
      <w:pPr/>
    </w:p>
    <w:p>
      <w:pPr/>
      <w:r>
        <w:rPr/>
        <w:t xml:space="preserve">Type de montage: Bodenaufbau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10</w:t>
      </w:r>
    </w:p>
    <w:p>
      <w:pPr/>
      <w:r>
        <w:rPr/>
        <w:t xml:space="preserve">Température permise en mode contenu: -20 °C à 50 °C °C</w:t>
      </w:r>
    </w:p>
    <w:p>
      <w:pPr/>
      <w:r>
        <w:rPr/>
        <w:t xml:space="preserve">Température permise en mode veille: -20 °C à 50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10 W W</w:t>
      </w:r>
    </w:p>
    <w:p>
      <w:pPr/>
      <w:r>
        <w:rPr/>
        <w:t xml:space="preserve">Flux lumineux en mode de secours: 610 lm lm</w:t>
      </w:r>
    </w:p>
    <w:p>
      <w:pPr/>
    </w:p>
    <w:p>
      <w:pPr/>
      <w:r>
        <w:rPr/>
        <w:t xml:space="preserve">Tension d'entrée AC: 230 V V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ZPMR029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2026-09-15T05:22:33+02:00</dcterms:created>
  <dcterms:modified xsi:type="dcterms:W3CDTF">2026-09-15T05:22:33+02:00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