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1,0 W W</w:t>
      </w:r>
    </w:p>
    <w:p>
      <w:pPr/>
      <w:r>
        <w:rPr/>
        <w:t xml:space="preserve">Flux lumineux en mode de secours: 520 lm lm</w:t>
      </w:r>
    </w:p>
    <w:p>
      <w:pPr/>
    </w:p>
    <w:p>
      <w:pPr/>
    </w:p>
    <w:p>
      <w:pPr/>
      <w:r>
        <w:rPr/>
        <w:t xml:space="preserve">Batterie: LFPN3233.01-TT</w:t>
      </w:r>
    </w:p>
    <w:p>
      <w:pPr/>
    </w:p>
    <w:p>
      <w:pPr/>
      <w:r>
        <w:rPr/>
        <w:t xml:space="preserve">Numéro d'article: KWIW423DL</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2026-07-03T10:28:13+02:00</dcterms:created>
  <dcterms:modified xsi:type="dcterms:W3CDTF">2026-07-03T10:28:13+02:00</dcterms:modified>
</cp:coreProperties>
</file>

<file path=docProps/custom.xml><?xml version="1.0" encoding="utf-8"?>
<Properties xmlns="http://schemas.openxmlformats.org/officeDocument/2006/custom-properties" xmlns:vt="http://schemas.openxmlformats.org/officeDocument/2006/docPropsVTypes"/>
</file>