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0,9 W W</w:t>
      </w:r>
    </w:p>
    <w:p>
      <w:pPr/>
      <w:r>
        <w:rPr/>
        <w:t xml:space="preserve">Flux lumineux en mode de secours: 210 lm lm</w:t>
      </w:r>
    </w:p>
    <w:p>
      <w:pPr/>
    </w:p>
    <w:p>
      <w:pPr/>
    </w:p>
    <w:p>
      <w:pPr/>
      <w:r>
        <w:rPr/>
        <w:t xml:space="preserve">Batterie: LFPN3216.01</w:t>
      </w:r>
    </w:p>
    <w:p>
      <w:pPr/>
    </w:p>
    <w:p>
      <w:pPr/>
      <w:r>
        <w:rPr/>
        <w:t xml:space="preserve">Numéro d'article: PMW403DL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2026-10-14T12:05:46+02:00</dcterms:created>
  <dcterms:modified xsi:type="dcterms:W3CDTF">2026-10-14T12:05:46+02:00</dcterms:modified>
</cp:coreProperties>
</file>

<file path=docProps/custom.xml><?xml version="1.0" encoding="utf-8"?>
<Properties xmlns="http://schemas.openxmlformats.org/officeDocument/2006/custom-properties" xmlns:vt="http://schemas.openxmlformats.org/officeDocument/2006/docPropsVTypes"/>
</file>