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Polycarbonate</w:t>
      </w:r>
    </w:p>
    <w:p>
      <w:pPr/>
      <w:r>
        <w:rPr/>
        <w:t xml:space="preserve">Couleur: RAL 7035</w:t>
      </w:r>
    </w:p>
    <w:p>
      <w:pPr/>
      <w:r>
        <w:rPr/>
        <w:t xml:space="preserve">Dimensions: 1560 mm x 82 mm x 97 mm</w:t>
      </w:r>
    </w:p>
    <w:p>
      <w:pPr/>
    </w:p>
    <w:p>
      <w:pPr/>
      <w:r>
        <w:rPr/>
        <w:t xml:space="preserve">Type de montage: Wandaufbau,Deckenaufbau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66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38 W W</w:t>
      </w:r>
    </w:p>
    <w:p>
      <w:pPr/>
      <w:r>
        <w:rPr/>
        <w:t xml:space="preserve">Puissance en mode veille: 0,8 W W</w:t>
      </w:r>
    </w:p>
    <w:p>
      <w:pPr/>
      <w:r>
        <w:rPr/>
        <w:t xml:space="preserve">Flux lumineux en mode de secours: 520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Numéro d'article: LFU15423WL-CCT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3EBB78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2026-09-22T15:54:20+02:00</dcterms:created>
  <dcterms:modified xsi:type="dcterms:W3CDTF">2026-09-22T15:54:20+02:00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