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Diameter: 104 mm</w:t>
      </w:r>
    </w:p>
    <w:p>
      <w:pPr/>
    </w:p>
    <w:p>
      <w:pPr/>
      <w:r>
        <w:rPr/>
        <w:t xml:space="preserve">Beskyttelsesklasse: 2</w:t>
      </w:r>
    </w:p>
    <w:p>
      <w:pPr/>
      <w:r>
        <w:rPr/>
        <w:t xml:space="preserve">Beskyttelsesklasse (IP): IP 40</w:t>
      </w:r>
    </w:p>
    <w:p>
      <w:pPr/>
      <w:r>
        <w:rPr/>
        <w:t xml:space="preserve">Slagfasthetsklasse IK: IK ≥ 3</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110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EARF028SC</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354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2026-07-26T05:33:36+02:00</dcterms:created>
  <dcterms:modified xsi:type="dcterms:W3CDTF">2026-07-26T05:33:36+02:00</dcterms:modified>
</cp:coreProperties>
</file>

<file path=docProps/custom.xml><?xml version="1.0" encoding="utf-8"?>
<Properties xmlns="http://schemas.openxmlformats.org/officeDocument/2006/custom-properties" xmlns:vt="http://schemas.openxmlformats.org/officeDocument/2006/docPropsVTypes"/>
</file>