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Rund sink-trykkstøpt lampe for generell belysning og belysning av rømnings- og redningsveier i henhold til DIN EN 60598-1, DIN EN 60598-2-22 og DIN EN 1838.</w:t>
      </w:r>
      <w:br/>
      <w:br/>
      <w:r>
        <w:rPr/>
        <w:t xml:space="preserve">I robust design og tidløst design, egnet for innendørs og utendørs bruk. Nødlys-LED-en kan foldes ut uten verktøy under montering, for eksempel for å belyse rømnings- og redningsveier optimalt ved montering på vegg. Versjon i antrasittfarge.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med 20-sifret adresseringsbryter, for drift på et sentralt strømforsyningssystem. Automatisk kontrollsystem i henhold til DIN EN 62034 type ER, i forbindelse med et MultiControl-anlegg. Funksjoner må overholdes:</w:t>
      </w:r>
    </w:p>
    <w:p>
      <w:pPr>
        <w:numPr>
          <w:ilvl w:val="0"/>
          <w:numId w:val="2"/>
        </w:numPr>
      </w:pPr>
      <w:r>
        <w:rPr/>
        <w:t xml:space="preserve">Integrert enkeltlampeovervåking</w:t>
      </w:r>
    </w:p>
    <w:p>
      <w:pPr>
        <w:numPr>
          <w:ilvl w:val="0"/>
          <w:numId w:val="2"/>
        </w:numPr>
      </w:pPr>
      <w:r>
        <w:rPr/>
        <w:t xml:space="preserve">Integrert lampestyringsfunksjon</w:t>
      </w:r>
    </w:p>
    <w:p>
      <w:pPr>
        <w:numPr>
          <w:ilvl w:val="0"/>
          <w:numId w:val="2"/>
        </w:numPr>
      </w:pPr>
      <w:r>
        <w:rPr/>
        <w:t xml:space="preserve">Individuell omkobling i forbindelse med sentralt strømforsyningssystem fra RP</w:t>
      </w:r>
    </w:p>
    <w:p>
      <w:pPr/>
      <w:r>
        <w:rPr/>
        <w:t xml:space="preserve">Materiale: Pressstøping av sink</w:t>
      </w:r>
    </w:p>
    <w:p>
      <w:pPr/>
      <w:r>
        <w:rPr/>
        <w:t xml:space="preserve">Farge: RAL 7016</w:t>
      </w:r>
    </w:p>
    <w:p>
      <w:pPr/>
      <w:r>
        <w:rPr/>
        <w:t xml:space="preserve">Diameter: 363 mm</w:t>
      </w:r>
    </w:p>
    <w:p>
      <w:pPr/>
    </w:p>
    <w:p>
      <w:pPr/>
      <w:r>
        <w:rPr/>
        <w:t xml:space="preserve">Type montering: Universal</w:t>
      </w:r>
    </w:p>
    <w:p>
      <w:pPr/>
      <w:r>
        <w:rPr/>
        <w:t xml:space="preserve">Beskyttelsesklasse: 1</w:t>
      </w:r>
    </w:p>
    <w:p>
      <w:pPr/>
      <w:r>
        <w:rPr/>
        <w:t xml:space="preserve">Beskyttelsesklasse (IP): IP 54</w:t>
      </w:r>
    </w:p>
    <w:p>
      <w:pPr/>
      <w:r>
        <w:rPr/>
        <w:t xml:space="preserve">Slagfasthetsklasse IK: IK 10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Piktogram: Nein</w:t>
      </w:r>
    </w:p>
    <w:p>
      <w:pPr/>
    </w:p>
    <w:p>
      <w:pPr/>
      <w:r>
        <w:rPr/>
        <w:t xml:space="preserve">Strøm kontinuerlig drift: 17 W W</w:t>
      </w:r>
    </w:p>
    <w:p>
      <w:pPr/>
      <w:r>
        <w:rPr/>
        <w:t xml:space="preserve">Strøm i standby-modus: 1,1 W W</w:t>
      </w:r>
    </w:p>
    <w:p>
      <w:pPr/>
      <w:r>
        <w:rPr/>
        <w:t xml:space="preserve">Lysstrøm Nøddrift: 470 lm lm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</w:t>
      </w:r>
    </w:p>
    <w:p>
      <w:pPr/>
    </w:p>
    <w:p>
      <w:pPr/>
      <w:r>
        <w:rPr/>
        <w:t xml:space="preserve">Varenummer: QCW029ML-AZ</w:t>
      </w:r>
    </w:p>
    <w:p>
      <w:pPr/>
    </w:p>
    <w:p>
      <w:pPr/>
      <w:r>
        <w:rPr/>
        <w:t xml:space="preserve">Tilbehør: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C2E71DF7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2026-10-23T05:19:13+02:00</dcterms:created>
  <dcterms:modified xsi:type="dcterms:W3CDTF">2026-10-23T05:19:13+02:00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