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plast for universell installasjon. Universal montering inkluderer mulighet for montering av lampen enten som vegg- eller takflate. Det kubiske plasthuset er diskret redusert til det essensielle. Den høye beskyttelsesklassen muliggjør bruk i fuktige rom eller miljøer med høye forurensningsnivåer. </w:t>
      </w:r>
      <w:br/>
      <w:r>
        <w:rPr/>
        <w:t xml:space="preserve">Display-skivelampe med integrert lysfordeling for jevn belysning av piktogrammet. Egnet for en- eller tosidig merking.</w:t>
      </w:r>
      <w:br/>
      <w:br/>
      <w:r>
        <w:rPr/>
        <w:t xml:space="preserve">Planleggingssikkerhet sikres av verktøyfri, variabel bruk av piktogrammene på stedet. Et piktogramsett i henhold til DIN ISO 7010 (pil høyre, venstre, topp og bunn) er inkludert som standard i leveringsomfanget.</w:t>
      </w:r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204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7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KAMU009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AWX001,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2026-07-16T06:02:08+02:00</dcterms:created>
  <dcterms:modified xsi:type="dcterms:W3CDTF">2026-07-16T06:02:08+02:00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