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Aluminiumsprofilskivelampe i henhold til DIN EN60598-1, DIN EN 60598-2-22 og DIN EN 1838.</w:t>
      </w:r>
      <w:br/>
      <w:br/>
      <w:r>
        <w:rPr/>
        <w:t xml:space="preserve">Innovativt LED-skivelampe i aluminium for universell installasjon takket være det multifunksjonelle lampehuset (vegg/tak). Egnet for permanent eller beredskapskobling. Planleggingssikkerhet gjennom verktøyfri, variabel bruk av piktogrammene på stedet. Piktogramsett (venstre, høyre, bunn, topp) inkludert som standard i leveringsomfanget.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95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</w:t>
      </w:r>
    </w:p>
    <w:p>
      <w:pPr/>
    </w:p>
    <w:p>
      <w:pPr/>
      <w:r>
        <w:rPr/>
        <w:t xml:space="preserve">Varenummer: ASMU413SC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2PS-EB</w:t>
      </w:r>
    </w:p>
    <w:p>
      <w:pPr/>
      <w:r>
        <w:rPr/>
        <w:t xml:space="preserve">Varenummer: BALLPLX-KMU.01,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B307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2026-07-03T07:12:42+02:00</dcterms:created>
  <dcterms:modified xsi:type="dcterms:W3CDTF">2026-07-03T07:12:42+02:00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