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miniControl plus</w:t>
      </w:r>
    </w:p>
    <w:p>
      <w:pPr/>
      <w:r>
        <w:rPr/>
        <w:t xml:space="preserve">Centralny system zasilania awaryjnego MC bez ograniczenia mocy, zgodny z normą DIN EN 50171:2021 i rozporządzeniem DGUV nr 3, do zasilania opraw oświetlenia awaryjnego i ewakuacyjnego {{(P:20:56)}} / {{(P:20:55)}} AC/DC {{(P:20:50)}}.</w:t>
      </w:r>
    </w:p>
    <w:p>
      <w:pPr/>
      <w:r>
        <w:rPr/>
        <w:t xml:space="preserve">Nadaje się do systemów oświetlenia awaryjnego zgodnie z:</w:t>
      </w:r>
    </w:p>
    <w:p>
      <w:pPr/>
      <w:r>
        <w:rPr/>
        <w:t xml:space="preserve">• DIN VDE 0100-718:2014-06 (Wymagania w specjalnych strefach roboczych – Oświetlenie awaryjne),</w:t>
      </w:r>
    </w:p>
    <w:p>
      <w:pPr/>
      <w:r>
        <w:rPr/>
        <w:t xml:space="preserve">• DIN VDE 0100-560:2022-10 (Zasilanie awaryjne),</w:t>
      </w:r>
    </w:p>
    <w:p>
      <w:pPr/>
      <w:r>
        <w:rPr/>
        <w:t xml:space="preserve">• DIN EN 50172:2024-10 (VDE 0108-100:2024-10) (Systemy oświetlenia awaryjnego).</w:t>
      </w:r>
    </w:p>
    <w:p>
      <w:pPr/>
      <w:r>
        <w:rPr/>
        <w:t xml:space="preserve">Z automatycznym urządzeniem testującym i indywidualnym monitorowaniem opraw, a także indywidualnym wyświetlaczem stanu każdej oprawy w jednostce sterującej – w połączeniu ze specyficznymi dla systemu statecznikami elektronicznymi, w tym modułem monitorującym, bez dodatkowej linii danych.</w:t>
      </w:r>
    </w:p>
    <w:p>
      <w:pPr/>
      <w:r>
        <w:rPr/>
        <w:t xml:space="preserve">Znamionowy czas pracy / maksymalne obciążenie przyłączeniowe:</w:t>
      </w:r>
    </w:p>
    <w:p>
      <w:pPr/>
      <w:r>
        <w:rPr/>
        <w:t xml:space="preserve">○ 1 godz. / maks. {{(P:20:130)}}</w:t>
      </w:r>
    </w:p>
    <w:p>
      <w:pPr/>
      <w:r>
        <w:rPr/>
        <w:t xml:space="preserve">○ 3 godz. / maks. {{(P:20:131)}}</w:t>
      </w:r>
    </w:p>
    <w:p>
      <w:pPr/>
      <w:r>
        <w:rPr/>
        <w:t xml:space="preserve">○ 8 godz. / maks. {{(P:20:132)}}</w:t>
      </w:r>
    </w:p>
    <w:p>
      <w:pPr/>
      <w:r>
        <w:rPr/>
        <w:t xml:space="preserve">Czas ładowania: 12 godz.</w:t>
      </w:r>
    </w:p>
    <w:p>
      <w:pPr/>
      <w:r>
        <w:rPr/>
        <w:t xml:space="preserve">Składa się z:</w:t>
      </w:r>
    </w:p>
    <w:p>
      <w:pPr/>
      <w:r>
        <w:rPr/>
        <w:t xml:space="preserve">Mikroprocesorowej jednostki sterującej ze zintegrowanym modułem IO do raportowania stanów pracy i zdalnego uruchamiania testów funkcjonalnych oraz blokowania oświetlenia awaryjnego.</w:t>
      </w:r>
    </w:p>
    <w:p>
      <w:pPr/>
      <w:r>
        <w:rPr/>
        <w:t xml:space="preserve">Urządzenia ładującego z ładowaniem sterowanym mikroprocesorowo, zapewniającego ładowanie akumulatorów zgodnie ze standardami.</w:t>
      </w:r>
    </w:p>
    <w:p>
      <w:pPr/>
      <w:r>
        <w:rPr/>
        <w:t xml:space="preserve">Zintegrowanego oświetlenia wnętrza szafy sterowniczej.</w:t>
      </w:r>
    </w:p>
    <w:p>
      <w:pPr/>
      <w:r>
        <w:rPr/>
        <w:t xml:space="preserve">Do pomieszczenia maksymalnie 6 modułów DCM o zmiennej pojemności, każdy z 2 obwodami, oraz maksymalnie jednego modułu ładowania 1,0 A.</w:t>
      </w:r>
    </w:p>
    <w:p>
      <w:pPr/>
      <w:r>
        <w:rPr/>
        <w:t xml:space="preserve">{{(P:6:24)}}- {{(P:19:239)}}, z częściowo uszczelnioną elektroniką i komorą na maksymalnie 18 akumulatorów OGIV, maks. 17 Ah</w:t>
      </w:r>
    </w:p>
    <w:p>
      <w:pPr/>
      <w:r>
        <w:rPr/>
        <w:t xml:space="preserve">Wymiary: wys. = {{(P:1:2)}}, szer. = {{(P:1:1)}}, gł. = {{(P:1:8)}}</w:t>
      </w:r>
    </w:p>
    <w:p>
      <w:pPr/>
      <w:r>
        <w:rPr/>
        <w:t xml:space="preserve">Stopień ochrony: {{(P:19:239)}} {{(P:18:31)}}, {{(P:18:32)}} wraz z uchwytem ściennym</w:t>
      </w:r>
    </w:p>
    <w:p>
      <w:pPr/>
      <w:r>
        <w:rPr/>
        <w:t xml:space="preserve">Wprowadzenie kabla: Standardowe od góry</w:t>
      </w:r>
    </w:p>
    <w:p>
      <w:pPr/>
      <w:r>
        <w:rPr/>
        <w:t xml:space="preserve">Wykończenie zewnętrzne: Teksturowana powłoka proszkowa</w:t>
      </w:r>
    </w:p>
    <w:p>
      <w:pPr/>
      <w:r>
        <w:rPr/>
        <w:t xml:space="preserve">Kolor: {{(P:5:23)}}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2025-09-16T17:37:05+02:00</dcterms:created>
  <dcterms:modified xsi:type="dcterms:W3CDTF">2025-09-16T17:37:05+02:00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