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MC scentralizowany system zasilania bezpieczeństwa bez ograniczenia mocy wg.</w:t>
      </w:r>
    </w:p>
    <w:p>
      <w:pPr/>
      <w:r>
        <w:rPr/>
        <w:t xml:space="preserve">EN 50171 i BGV A3 do zasilania 230V / 216V AC/DC opraw bezpieczeństwa i opraw znaków ewakuacyjnych. Odpowiedni do systemów oświetlenia bezpieczeństwa zgodnie z normami DIN VDE 0100-718, DIN VDE 0100-560, DIN EN 50172 i DIN VDE V 0108-100.</w:t>
      </w:r>
    </w:p>
    <w:p>
      <w:pPr/>
      <w:r>
        <w:rPr/>
        <w:t xml:space="preserve">Z automatycznym urządzeniem testującym i monitorowaniem poszczególnych opraw z indywidualnym wyświetlaniem stanu każdej oprawy w sekcji sterowania w połączeniu z systemowymi statecznikami elektronicznymi, w tym modułem monitorującym bez dodatkowej linii danych.</w:t>
      </w:r>
    </w:p>
    <w:p>
      <w:pPr/>
      <w:r>
        <w:rPr/>
        <w:t xml:space="preserve">Nominalny czas pracy *: 1h; 3h; 8h * W stosownych przypadkach należy podkreślić!</w:t>
      </w:r>
    </w:p>
    <w:p>
      <w:pPr/>
      <w:r>
        <w:rPr/>
        <w:t xml:space="preserve">Czas ładowania: 12 h</w:t>
      </w:r>
    </w:p>
    <w:p>
      <w:pPr/>
      <w:r>
        <w:rPr/>
        <w:t xml:space="preserve">składający się z:</w:t>
      </w:r>
    </w:p>
    <w:p>
      <w:pPr/>
      <w:r>
        <w:rPr/>
        <w:t xml:space="preserve"> </w:t>
      </w:r>
    </w:p>
    <w:p>
      <w:pPr/>
      <w:r>
        <w:rPr/>
        <w:t xml:space="preserve">Mikroprocesorowej jednostki sterującej z interfejsem drukarki DB25 Centronics i zintegrowanym modułem IO do sygnalizacji stanów pracy i zdalnego wyzwalania testów funkcji oraz awaryjnego blokowania świateł.</w:t>
      </w:r>
    </w:p>
    <w:p>
      <w:pPr/>
      <w:r>
        <w:rPr/>
        <w:t xml:space="preserve">Urządzenie ładujące z ładowaniem sterowanym mikroprocesorem i liczbą jednostek ładujących wymaganych do naładowania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przechowywania maksymalnie 36 modułów obwodów zmiennych,</w:t>
      </w:r>
    </w:p>
    <w:p>
      <w:pPr/>
      <w:r>
        <w:rPr/>
        <w:t xml:space="preserve">maks. 1 moduł ładowania (2,5 A każdy).</w:t>
      </w:r>
    </w:p>
    <w:p>
      <w:pPr/>
      <w:r>
        <w:rPr/>
        <w:t xml:space="preserve">Wyłącznik przeciążeniowy (D02) do zasilania sieciowego i akumulatorowego (Neozed D02), przekrój przyłącza 16 mm² w standardzie.</w:t>
      </w:r>
    </w:p>
    <w:p>
      <w:pPr/>
      <w:r>
        <w:rPr/>
        <w:t xml:space="preserve"> </w:t>
      </w:r>
    </w:p>
    <w:p>
      <w:pPr/>
      <w:r>
        <w:rPr/>
        <w:t xml:space="preserve">Kombinowana szafka z blachy stalowej, z częściowo podzielonym przedziałem elektronicznym i przedziałem akumulatora, z podstawą 100 mm, dla maksymalnie 18 akumulatorów OGIV maks. 45 Ah.</w:t>
      </w:r>
    </w:p>
    <w:p>
      <w:pPr/>
      <w:r>
        <w:rPr/>
        <w:t xml:space="preserve">Wymiary: H=1500 mm, W=600 mm, D=450 mm</w:t>
      </w:r>
    </w:p>
    <w:p>
      <w:pPr/>
      <w:r>
        <w:rPr/>
        <w:t xml:space="preserve">Klasa ochrony: Obudowa elektroniki IP 21, klasa ochrony I</w:t>
      </w:r>
    </w:p>
    <w:p>
      <w:pPr/>
      <w:r>
        <w:rPr/>
        <w:t xml:space="preserve">Wejście kablowe: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2026-05-12T07:56:09+02:00</dcterms:created>
  <dcterms:modified xsi:type="dcterms:W3CDTF">2026-05-12T07:56:09+02:00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