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MCW</w:t>
      </w:r>
    </w:p>
    <w:p>
      <w:pPr/>
      <w:r>
        <w:rPr/>
        <w:t xml:space="preserve">Centralny system zasilania awaryjnego MC bez ograniczenia mocy zgodnie z normami EN 50171 i BGV A3 do zasilania lamp bezpieczeństwa i lamp z symbolem ratunkowym 230 V / 216 V AC/DC. Nadaje się do instalacji oświetlenia awaryjnego zgodnie z normami DIN VDE 0100-718, DIN VDE 0100-560, DIN EN 50172 i DIN V VDE V 0108-100. 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 godz.; 3 godz.; 8 godz.        * Proszę podkreślić odpowiednią opcję!</w:t>
      </w:r>
    </w:p>
    <w:p>
      <w:pPr/>
      <w:r>
        <w:rPr/>
        <w:t xml:space="preserve">Czas ładowania: 12 godz.</w:t>
      </w:r>
    </w:p>
    <w:p>
      <w:pPr/>
      <w:r>
        <w:rPr/>
        <w:t xml:space="preserve"> </w:t>
      </w:r>
    </w:p>
    <w:p>
      <w:pPr/>
      <w:r>
        <w:rPr/>
        <w:t xml:space="preserve">Skład:</w:t>
      </w:r>
    </w:p>
    <w:p>
      <w:pPr/>
      <w:r>
        <w:rPr/>
        <w:t xml:space="preserve"> </w:t>
      </w:r>
    </w:p>
    <w:p>
      <w:pPr/>
      <w:r>
        <w:rPr/>
        <w:t xml:space="preserve">Mikroprocesorowej części sterującej z interfejsem drukarki DB25-Centronics oraz zintegrowanym modułem IO do przekazywania informacji o stanach pracy i zdalnego uruchamiania testów funkcjonalnych oraz blokady oświetlenia awaryjnego.</w:t>
      </w:r>
    </w:p>
    <w:p>
      <w:pPr/>
      <w:r>
        <w:rPr/>
        <w:t xml:space="preserve">Urządzenia ładującego z ładowaniem sterowanym mikroprocesorem i liczbą elementów ładujących niezbędnych do ładowania akumulatora zgodnie z normami.</w:t>
      </w:r>
    </w:p>
    <w:p>
      <w:pPr/>
      <w:r>
        <w:rPr/>
        <w:t xml:space="preserve"> </w:t>
      </w:r>
    </w:p>
    <w:p>
      <w:pPr/>
      <w:r>
        <w:rPr/>
        <w:t xml:space="preserve">Do podłączenia maksymalnie 48 zmiennych modułów obwodów elektrycznych oraz </w:t>
      </w:r>
    </w:p>
    <w:p>
      <w:pPr/>
      <w:r>
        <w:rPr/>
        <w:t xml:space="preserve">3 modułów ładujących (po 2,5 A).</w:t>
      </w:r>
    </w:p>
    <w:p>
      <w:pPr/>
      <w:r>
        <w:rPr/>
        <w:t xml:space="preserve">Wyłącznik odłączający (D02) do zasilania sieciowego i bateryjnego (Neozed D02), przekrój poprzeczny przyłącza standardowo 16 mm².</w:t>
      </w:r>
    </w:p>
    <w:p>
      <w:pPr/>
      <w:r>
        <w:rPr/>
        <w:t xml:space="preserve">.. szt. Szafka ścienna z blachy stalowej jako szafka elektroniczna wraz z uchwytami ściennymi</w:t>
      </w:r>
    </w:p>
    <w:p>
      <w:pPr/>
      <w:r>
        <w:rPr/>
        <w:t xml:space="preserve"> </w:t>
      </w:r>
    </w:p>
    <w:p>
      <w:pPr/>
      <w:r>
        <w:rPr/>
        <w:t xml:space="preserve">Wymiary:    wys. 900 x szer. 600 x gł. 450 mm </w:t>
      </w:r>
    </w:p>
    <w:p>
      <w:pPr/>
      <w:r>
        <w:rPr/>
        <w:t xml:space="preserve">Stopień ochrony:        szafka elektroniczna IP21, klasa ochrony I</w:t>
      </w:r>
    </w:p>
    <w:p>
      <w:pPr/>
      <w:r>
        <w:rPr/>
        <w:t xml:space="preserve">Wprowadzenie kabla:    standardowo od góry</w:t>
      </w:r>
    </w:p>
    <w:p>
      <w:pPr/>
      <w:r>
        <w:rPr/>
        <w:t xml:space="preserve">Otwór drzwi:    lewy, 2x zamek dwupunktowy</w:t>
      </w:r>
    </w:p>
    <w:p>
      <w:pPr/>
      <w:r>
        <w:rPr/>
        <w:t xml:space="preserve">Lakierowanie zewnętrzne:     lakier proszkowy strukturalny</w:t>
      </w:r>
    </w:p>
    <w:p>
      <w:pPr/>
      <w:r>
        <w:rPr/>
        <w:t xml:space="preserve">Kolor:        RAL 7035 jasnoszary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2026-05-12T07:49:44+02:00</dcterms:created>
  <dcterms:modified xsi:type="dcterms:W3CDTF">2026-05-12T07:49:44+02:00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