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Centralny system zasilania awaryjnego MC bez ograniczenia mocy zgodnie z </w:t>
      </w:r>
    </w:p>
    <w:p>
      <w:pPr/>
      <w:r>
        <w:rPr/>
        <w:t xml:space="preserve">normami EN 50171 i BGV A3 do zasilania lamp bezpieczeństwa i lamp z symbolem ratunkowym 230 V / 216 V AC/DC. Odpowiedni do instalacji oświetlenia awaryjnego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z indywidualnym wskaźnikiem stanu każdej lampy w części sterującej w połączeniu z elektronicznymi statecznikami podłączonymi do systemu, w tym modułem monitorującym bez dodatkowego przewodu danych. </w:t>
      </w:r>
    </w:p>
    <w:p>
      <w:pPr/>
      <w:r>
        <w:rPr/>
        <w:t xml:space="preserve">Nominalny czas pracy *: 1 godz.; 3 godz.; 8 godz. * Proszę podkreślić odpowiednią opcję! </w:t>
      </w:r>
    </w:p>
    <w:p>
      <w:pPr/>
      <w:r>
        <w:rPr/>
        <w:t xml:space="preserve">Czas ładowania: 12 godz.</w:t>
      </w:r>
    </w:p>
    <w:p>
      <w:pPr/>
      <w:r>
        <w:rPr/>
        <w:t xml:space="preserve">Mikroprocesorowy moduł sterujący z interfejsem drukarki DB25 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Urządzenie ładujące z ładowaniem sterowanym mikroprocesorem i liczbą elementów ładujących niezbędną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60 zmiennych modułów obwodów elektrycznych, maksymalnie 3 modułów ładujących (po 2,5 A).</w:t>
      </w:r>
    </w:p>
    <w:p>
      <w:pPr/>
      <w:r>
        <w:rPr/>
        <w:t xml:space="preserve">Wyłącznik odłączający (D02) do zasilania sieciowego i akumulatorowego (Neozed D02), przekrój przyłączeniowy standardowo 16 mm².</w:t>
      </w:r>
    </w:p>
    <w:p>
      <w:pPr/>
      <w:r>
        <w:rPr/>
        <w:t xml:space="preserve">Szafka kombinowana z blachy stalowej, z częściowo oddzieloną komorą na elektronikę i akumulatory, wraz z cokołem 50 mm, na maks. 18 akumulatorów OGIV o pojemności maks. 110 Ah</w:t>
      </w:r>
    </w:p>
    <w:p>
      <w:pPr/>
      <w:r>
        <w:rPr/>
        <w:t xml:space="preserve">Wymiary:    wys. = 1850 mm, szer. = 800 mm, gł. = 600 mm</w:t>
      </w:r>
    </w:p>
    <w:p>
      <w:pPr/>
      <w:r>
        <w:rPr/>
        <w:t xml:space="preserve">Stopień ochrony:        Szafka elektroniczna IP 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2026-05-12T07:50:16+02:00</dcterms:created>
  <dcterms:modified xsi:type="dcterms:W3CDTF">2026-05-12T07:50:16+02:00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