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250 mm x 34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54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-10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KMB018WL-PL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BALLPLX-KMB, </w:t>
      </w:r>
    </w:p>
    <w:p>
      <w:pPr/>
      <w:r>
        <w:rPr/>
        <w:t xml:space="preserve">Numer artykułu: LFPN3233.01,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2026-07-10T14:14:22+02:00</dcterms:created>
  <dcterms:modified xsi:type="dcterms:W3CDTF">2026-07-10T14:14:22+02:00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