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34 mm x 250 mm x 174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54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85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KSU018WL-PL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KME-EB, </w:t>
      </w:r>
    </w:p>
    <w:p>
      <w:pPr/>
      <w:r>
        <w:rPr/>
        <w:t xml:space="preserve">Numer artykułu: AWKSU,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KMBE, </w:t>
      </w:r>
    </w:p>
    <w:p>
      <w:pPr/>
      <w:r>
        <w:rPr/>
        <w:t xml:space="preserve">Numer artykułu: BALLPLX-KMU.01, </w:t>
      </w:r>
    </w:p>
    <w:p>
      <w:pPr/>
      <w:r>
        <w:rPr/>
        <w:t xml:space="preserve">Numer artykułu: DSA, </w:t>
      </w:r>
    </w:p>
    <w:p>
      <w:pPr/>
      <w:r>
        <w:rPr/>
        <w:t xml:space="preserve">Numer artykułu: KSE-MB-WS, </w:t>
      </w:r>
    </w:p>
    <w:p>
      <w:pPr/>
      <w:r>
        <w:rPr/>
        <w:t xml:space="preserve">Numer artykułu: KSE-MB-SI,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2026-07-10T13:57:12+02:00</dcterms:created>
  <dcterms:modified xsi:type="dcterms:W3CDTF">2026-07-10T13:57:12+02:00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