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Transparent</w:t>
      </w:r>
    </w:p>
    <w:p>
      <w:pPr/>
      <w:r>
        <w:rPr/>
        <w:t xml:space="preserve">Wymiary: 24 mm x 50 mm x 12 mm</w:t>
      </w:r>
    </w:p>
    <w:p>
      <w:pPr/>
    </w:p>
    <w:p>
      <w:pPr/>
      <w:r>
        <w:rPr/>
        <w:t xml:space="preserve">Typ montażu: Deckeneinbau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20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-25 °C do 40 °C °C</w:t>
      </w:r>
    </w:p>
    <w:p>
      <w:pPr/>
      <w:r>
        <w:rPr/>
        <w:t xml:space="preserve">Dopuszczalna temperatura BS: -25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1,9 W W</w:t>
      </w:r>
    </w:p>
    <w:p>
      <w:pPr/>
      <w:r>
        <w:rPr/>
        <w:t xml:space="preserve">Moc w trybie BS: 0 W W</w:t>
      </w:r>
    </w:p>
    <w:p>
      <w:pPr/>
      <w:r>
        <w:rPr/>
        <w:t xml:space="preserve">Strumień świetlny - praca awaryjna: 140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DOE029-PL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2026-08-21T07:41:31+02:00</dcterms:created>
  <dcterms:modified xsi:type="dcterms:W3CDTF">2026-08-21T07:41:31+02:00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