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60 mm x 340 mm x 170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6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KCW013SC-PL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BALL2, </w:t>
      </w:r>
    </w:p>
    <w:p>
      <w:pPr/>
      <w:r>
        <w:rPr/>
        <w:t xml:space="preserve">Numer artykułu: DWKCW, </w:t>
      </w:r>
    </w:p>
    <w:p>
      <w:pPr/>
      <w:r>
        <w:rPr/>
        <w:t xml:space="preserve">Numer artykułu: KC-IP65, </w:t>
      </w:r>
    </w:p>
    <w:p>
      <w:pPr/>
      <w:r>
        <w:rPr/>
        <w:t xml:space="preserve">Numer artykułu: KCER, </w:t>
      </w:r>
    </w:p>
    <w:p>
      <w:pPr/>
      <w:r>
        <w:rPr/>
        <w:t xml:space="preserve">Numer artykułu: KCWFH,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2026-07-31T06:16:43+02:00</dcterms:created>
  <dcterms:modified xsi:type="dcterms:W3CDTF">2026-07-31T06:16:43+02:00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