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70 mm x 260 mm x 155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43</w:t>
      </w:r>
    </w:p>
    <w:p>
      <w:pPr/>
      <w:r>
        <w:rPr/>
        <w:t xml:space="preserve">Klasa ochrony mechanicznej (IK): IK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0,35 W W</w:t>
      </w:r>
    </w:p>
    <w:p>
      <w:pPr/>
      <w:r>
        <w:rPr/>
        <w:t xml:space="preserve">Strumień świetlny - praca awaryjna: 150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NIMHHT4820Q, {{Produkt - BatteryPerformance - BatteryTechnology (P:17:110)}} Bateria</w:t>
      </w:r>
    </w:p>
    <w:p>
      <w:pPr/>
    </w:p>
    <w:p>
      <w:pPr/>
      <w:r>
        <w:rPr/>
        <w:t xml:space="preserve">Numer artykułu: KDU013-PL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DSA, </w:t>
      </w:r>
    </w:p>
    <w:p>
      <w:pPr/>
      <w:r>
        <w:rPr/>
        <w:t xml:space="preserve">Numer artykułu: BALL1,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BALLPLX-KD,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2026-07-10T14:02:22+02:00</dcterms:created>
  <dcterms:modified xsi:type="dcterms:W3CDTF">2026-07-10T14:02:22+02:00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