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70 mm x 260 mm x 155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43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-25 °C do 40 °C °C</w:t>
      </w:r>
    </w:p>
    <w:p>
      <w:pPr/>
      <w:r>
        <w:rPr/>
        <w:t xml:space="preserve">Dopuszczalna temperatura BS: -25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4,5 W W</w:t>
      </w:r>
    </w:p>
    <w:p>
      <w:pPr/>
      <w:r>
        <w:rPr/>
        <w:t xml:space="preserve">Moc w trybie BS: 0 W W</w:t>
      </w:r>
    </w:p>
    <w:p>
      <w:pPr/>
      <w:r>
        <w:rPr/>
        <w:t xml:space="preserve">Strumień świetlny - praca awaryjna: 300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KDU019-PL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BALL1,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2DW-EB</w:t>
      </w:r>
    </w:p>
    <w:p>
      <w:pPr/>
      <w:r>
        <w:rPr/>
        <w:t xml:space="preserve">Numer artykułu: BALLPLX-KD,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2026-07-10T06:47:55+02:00</dcterms:created>
  <dcterms:modified xsi:type="dcterms:W3CDTF">2026-07-10T06:47:55+02:00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