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Aluminium</w:t>
      </w:r>
    </w:p>
    <w:p>
      <w:pPr/>
      <w:r>
        <w:rPr/>
        <w:t xml:space="preserve">Kolor: Alu eloxiert</w:t>
      </w:r>
    </w:p>
    <w:p>
      <w:pPr/>
      <w:r>
        <w:rPr/>
        <w:t xml:space="preserve">Wymiary: 54 mm x 277 mm x 184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1</w:t>
      </w:r>
    </w:p>
    <w:p>
      <w:pPr/>
      <w:r>
        <w:rPr/>
        <w:t xml:space="preserve">Stopień ochrony (IP): IP 40</w:t>
      </w:r>
    </w:p>
    <w:p>
      <w:pPr/>
      <w:r>
        <w:rPr/>
        <w:t xml:space="preserve">Klasa ochrony mechanicznej (IK): IK 3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ASMU018WL-PL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2PS-EB</w:t>
      </w:r>
    </w:p>
    <w:p>
      <w:pPr/>
      <w:r>
        <w:rPr/>
        <w:t xml:space="preserve">Numer artykułu: BALLPLX-KMU.01,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2026-07-31T07:11:26+02:00</dcterms:created>
  <dcterms:modified xsi:type="dcterms:W3CDTF">2026-07-31T07:11:26+02:00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