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</w:t>
      </w:r>
    </w:p>
    <w:p>
      <w:pPr/>
      <w:r>
        <w:rPr/>
        <w:t xml:space="preserve">Centralny system zasilania awaryjnego MC o ograniczonej mocy (LPS) zgodny z normami EN 50171 i BGV A3 do zasilania opraw oświetlenia awaryjnego i ewakuacyjnego 230 V/216 V AC/DC. Nadaje się do systemów oświetlenia awaryjnego zgodnych z normami DIN VDE 0100-718, DIN VDE 0100-560, DIN EN 50172 i DIN V VDE V 0108-100.</w:t>
      </w:r>
    </w:p>
    <w:p>
      <w:pPr/>
      <w:r>
        <w:rPr/>
        <w:t xml:space="preserve">Z automatycznym urządzeniem testującym i indywidualnym monitorowaniem opraw z indywidualnym wskaźnikiem stanu dla każdej oprawy w jednostce sterującej w połączeniu ze specyficznymi dla systemu statecznikami elektronicznymi, w tym modułem monitorującym bez dodatkowej linii danych.</w:t>
      </w:r>
    </w:p>
    <w:p>
      <w:pPr/>
      <w:r>
        <w:rPr/>
        <w:t xml:space="preserve">Czas pracy znamionowej / maksymalne obciążenie przyłączeniowe:</w:t>
      </w:r>
    </w:p>
    <w:p>
      <w:pPr/>
      <w:r>
        <w:rPr/>
        <w:t xml:space="preserve">○ 1 h / maks. 1500 W</w:t>
      </w:r>
    </w:p>
    <w:p>
      <w:pPr/>
      <w:r>
        <w:rPr/>
        <w:t xml:space="preserve">○ 3 h / maks. 500 W</w:t>
      </w:r>
    </w:p>
    <w:p>
      <w:pPr/>
      <w:r>
        <w:rPr/>
        <w:t xml:space="preserve">○ 8 h / maks. 300 W</w:t>
      </w:r>
    </w:p>
    <w:p>
      <w:pPr/>
      <w:r>
        <w:rPr/>
        <w:t xml:space="preserve">Czas ładowania: 12 godz.</w:t>
      </w:r>
    </w:p>
    <w:p>
      <w:pPr/>
      <w:r>
        <w:rPr/>
        <w:t xml:space="preserve">Składa się z:</w:t>
      </w:r>
    </w:p>
    <w:p>
      <w:pPr/>
      <w:r>
        <w:rPr/>
        <w:t xml:space="preserve">Mikroprocesorowej jednostki sterującej z interfejsem drukarki DB25 Centronics i zintegrowanym modułem IO do raportowania stanów pracy i zdalnego uruchamiania testów funkcjonalnych oraz blokowania oświetlenia awaryjnego.</w:t>
      </w:r>
    </w:p>
    <w:p>
      <w:pPr/>
      <w:r>
        <w:rPr/>
        <w:t xml:space="preserve">Ładowarka z mikroprocesorowym sterowaniem ładowania, zapewniająca ładowanie akumulatorów zgodne ze standardami.</w:t>
      </w:r>
    </w:p>
    <w:p>
      <w:pPr/>
      <w:r>
        <w:rPr/>
        <w:t xml:space="preserve">Pomieści do 16 modułów DCM o zmiennej pojemności, każdy z dwoma obwodami, oraz maksymalnie jeden moduł ładowania 1,0 A.</w:t>
      </w:r>
    </w:p>
    <w:p>
      <w:pPr/>
      <w:r>
        <w:rPr/>
        <w:t xml:space="preserve">Szafa kombinowana z blachy stalowej z częściowo uszczelnioną elektroniką i komorą na akumulatory, mieszcząca do 18 akumulatorów OGIV o maks. pojemności 17 Ah</w:t>
      </w:r>
    </w:p>
    <w:p>
      <w:pPr/>
      <w:r>
        <w:rPr/>
        <w:t xml:space="preserve">Wymiary: wys. = 1470 mm, szer. = 571 mm, gł. = 230 mm</w:t>
      </w:r>
    </w:p>
    <w:p>
      <w:pPr/>
      <w:r>
        <w:rPr/>
        <w:t xml:space="preserve">Stopień ochrony: Szafa na elektronikę IP 20, klasa ochronności I</w:t>
      </w:r>
    </w:p>
    <w:p>
      <w:pPr/>
      <w:r>
        <w:rPr/>
        <w:t xml:space="preserve">Możliwość montażu na ścianie</w:t>
      </w:r>
    </w:p>
    <w:p>
      <w:pPr/>
      <w:r>
        <w:rPr/>
        <w:t xml:space="preserve">Wprowadzenie kabli: Standardowo od góry</w:t>
      </w:r>
    </w:p>
    <w:p>
      <w:pPr/>
      <w:r>
        <w:rPr/>
        <w:t xml:space="preserve">Wykończenie zewnętrzne: Teksturowana powłoka proszkowa</w:t>
      </w:r>
    </w:p>
    <w:p>
      <w:pPr/>
      <w:r>
        <w:rPr/>
        <w:t xml:space="preserve">Kolor: RAL 7035 jasnoszary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2025-09-16T17:37:56+02:00</dcterms:created>
  <dcterms:modified xsi:type="dcterms:W3CDTF">2025-09-16T17:37:56+02:00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