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1,7 W W</w:t>
      </w:r>
    </w:p>
    <w:p>
      <w:pPr/>
      <w:r>
        <w:rPr/>
        <w:t xml:space="preserve">Moc w trybie BS: 0,3 W W</w:t>
      </w:r>
    </w:p>
    <w:p>
      <w:pPr/>
      <w:r>
        <w:rPr/>
        <w:t xml:space="preserve">Strumień świetlny - praca awaryjna: 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UEMR019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2026-05-20T08:32:08+02:00</dcterms:created>
  <dcterms:modified xsi:type="dcterms:W3CDTF">2026-05-20T08:32:08+02:00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