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-30 °C do 40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KSC019ML-PL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KS4FIRE, </w:t>
      </w:r>
    </w:p>
    <w:p>
      <w:pPr/>
      <w:r>
        <w:rPr/>
        <w:t xml:space="preserve">Numer artykułu: KS4HELP, </w:t>
      </w:r>
    </w:p>
    <w:p>
      <w:pPr/>
      <w:r>
        <w:rPr/>
        <w:t xml:space="preserve">Numer artykułu: KME,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2026-07-10T05:52:46+02:00</dcterms:created>
  <dcterms:modified xsi:type="dcterms:W3CDTF">2026-07-10T05:52:46+02:00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