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avec suspension dans une découpe de trou de 68 mm. </w:t>
      </w:r>
      <w:br/>
      <w:br/>
      <w:r>
        <w:rPr/>
        <w:t xml:space="preserve">Langage formel sobre et clair de toutes les variantes de luminaires de la série A pour une intégration dans tous les types de bâtiments.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pendule carré 125mm peut être raccourci</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92 mm x 167 mm x 259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-35 à 40 °C</w:t>
      </w:r>
    </w:p>
    <w:p>
      <w:pPr/>
      <w:r>
        <w:rPr/>
        <w:t xml:space="preserve">Température permise en mode veille: -35 à 40 °C</w:t>
      </w:r>
    </w:p>
    <w:p>
      <w:pPr/>
      <w:r>
        <w:rPr/>
        <w:t xml:space="preserve">Distance de reconnaissance: 15 m</w:t>
      </w:r>
    </w:p>
    <w:p>
      <w:pPr/>
      <w:r>
        <w:rPr/>
        <w:t xml:space="preserve">Pictogramme: Set</w:t>
      </w:r>
    </w:p>
    <w:p>
      <w:pPr/>
    </w:p>
    <w:p>
      <w:pPr/>
      <w:r>
        <w:rPr/>
        <w:t xml:space="preserve">Puissance en mode continu: 2,25 W</w:t>
      </w:r>
    </w:p>
    <w:p>
      <w:pPr/>
      <w:r>
        <w:rPr/>
        <w:t xml:space="preserve">Puissance en mode veille: 0,7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AIEP009ML</w:t>
      </w:r>
    </w:p>
    <w:p>
      <w:pPr/>
    </w:p>
    <w:p>
      <w:pPr/>
      <w:r>
        <w:rPr/>
        <w:t xml:space="preserve">Accessoires:</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4F18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2024-04-16T14:27:06+02:00</dcterms:created>
  <dcterms:modified xsi:type="dcterms:W3CDTF">2024-04-16T14:27:06+02:00</dcterms:modified>
</cp:coreProperties>
</file>

<file path=docProps/custom.xml><?xml version="1.0" encoding="utf-8"?>
<Properties xmlns="http://schemas.openxmlformats.org/officeDocument/2006/custom-properties" xmlns:vt="http://schemas.openxmlformats.org/officeDocument/2006/docPropsVTypes"/>
</file>