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Zinc moulé sous pression</w:t>
      </w:r>
    </w:p>
    <w:p>
      <w:pPr/>
      <w:r>
        <w:rPr/>
        <w:t xml:space="preserve">Couleur: RAL 7016</w:t>
      </w:r>
    </w:p>
    <w:p>
      <w:pPr/>
      <w:r>
        <w:rPr/>
        <w:t xml:space="preserve">Dimensions: 80 mm x 312 mm x 228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30 m</w:t>
      </w:r>
    </w:p>
    <w:p>
      <w:pPr/>
      <w:r>
        <w:rPr/>
        <w:t xml:space="preserve">Pictogramme: Set</w:t>
      </w:r>
    </w:p>
    <w:p>
      <w:pPr/>
    </w:p>
    <w:p>
      <w:pPr/>
      <w:r>
        <w:rPr/>
        <w:t xml:space="preserve">Puissance en mode continu: 3,2 W</w:t>
      </w:r>
    </w:p>
    <w:p>
      <w:pPr/>
      <w:r>
        <w:rPr/>
        <w:t xml:space="preserve">Puissance en mode veille: 0,35 W</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NIMHHT4820Q, 4,8V/2,0Ah NiMH</w:t>
      </w:r>
    </w:p>
    <w:p>
      <w:pPr/>
    </w:p>
    <w:p>
      <w:pPr/>
      <w:r>
        <w:rPr/>
        <w:t xml:space="preserve">Numéro d'article: AXD008SC-AZ</w:t>
      </w:r>
    </w:p>
    <w:p>
      <w:pPr/>
    </w:p>
    <w:p>
      <w:pPr/>
      <w:r>
        <w:rPr/>
        <w:t xml:space="preserve">Accessoires:</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1E41F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2024-04-18T12:07:25+02:00</dcterms:created>
  <dcterms:modified xsi:type="dcterms:W3CDTF">2024-04-18T12:07:25+02:00</dcterms:modified>
</cp:coreProperties>
</file>

<file path=docProps/custom.xml><?xml version="1.0" encoding="utf-8"?>
<Properties xmlns="http://schemas.openxmlformats.org/officeDocument/2006/custom-properties" xmlns:vt="http://schemas.openxmlformats.org/officeDocument/2006/docPropsVTypes"/>
</file>