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7016</w:t>
      </w:r>
    </w:p>
    <w:p>
      <w:pPr/>
      <w:r>
        <w:rPr/>
        <w:t xml:space="preserve">Dimensions: 88 mm x 88 mm x 4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1,6 W</w:t>
      </w:r>
    </w:p>
    <w:p>
      <w:pPr/>
      <w:r>
        <w:rPr/>
        <w:t xml:space="preserve">Power non-maintained mode: 0,35 W</w:t>
      </w:r>
    </w:p>
    <w:p>
      <w:pPr/>
      <w:r>
        <w:rPr/>
        <w:t xml:space="preserve">Luminous Flux Emergency Operation: 140 lm</w:t>
      </w:r>
    </w:p>
    <w:p>
      <w:pPr/>
      <w:r>
        <w:rPr/>
        <w:t xml:space="preserve">Bridging time (h): 3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EEQR023SC-AZ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49B1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2022-11-28T09:48:17+01:00</dcterms:created>
  <dcterms:modified xsi:type="dcterms:W3CDTF">2022-11-28T09:48:17+01:00</dcterms:modified>
</cp:coreProperties>
</file>

<file path=docProps/custom.xml><?xml version="1.0" encoding="utf-8"?>
<Properties xmlns="http://schemas.openxmlformats.org/officeDocument/2006/custom-properties" xmlns:vt="http://schemas.openxmlformats.org/officeDocument/2006/docPropsVTypes"/>
</file>