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58 mm x 262 mm x 188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1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8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4,6 W W</w:t>
      </w:r>
    </w:p>
    <w:p>
      <w:pPr/>
      <w:r>
        <w:rPr/>
        <w:t xml:space="preserve">Moc w trybie BS: 0,35 W W</w:t>
      </w:r>
    </w:p>
    <w:p>
      <w:pPr/>
      <w:r>
        <w:rPr/>
        <w:t xml:space="preserve">Strumień świetlny - praca awaryjna: 220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NIMH9620Q, {{Produkt - BatteryPerformance - BatteryTechnology (P:17:110)}} Bateria</w:t>
      </w:r>
    </w:p>
    <w:p>
      <w:pPr/>
    </w:p>
    <w:p>
      <w:pPr/>
      <w:r>
        <w:rPr/>
        <w:t xml:space="preserve">Numer artykułu: FMDS028SC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FMDA001, </w:t>
      </w:r>
    </w:p>
    <w:p>
      <w:pPr/>
      <w:r>
        <w:rPr/>
        <w:t xml:space="preserve">Numer artykułu: FMDA002, </w:t>
      </w:r>
    </w:p>
    <w:p>
      <w:pPr/>
      <w:r>
        <w:rPr/>
        <w:t xml:space="preserve">Numer artykułu: FMDA001-AZ, </w:t>
      </w:r>
    </w:p>
    <w:p>
      <w:pPr/>
      <w:r>
        <w:rPr/>
        <w:t xml:space="preserve">Numer artykułu: FMDA002-AZ, </w:t>
      </w:r>
    </w:p>
    <w:p>
      <w:pPr/>
      <w:r>
        <w:rPr/>
        <w:t xml:space="preserve">Numer artykułu: FMWA001, </w:t>
      </w:r>
    </w:p>
    <w:p>
      <w:pPr/>
      <w:r>
        <w:rPr/>
        <w:t xml:space="preserve">Numer artykułu: FMFH,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2024-10-25T11:25:15+02:00</dcterms:created>
  <dcterms:modified xsi:type="dcterms:W3CDTF">2024-10-25T11:25:15+02:00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