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Polycarbonate</w:t>
      </w:r>
    </w:p>
    <w:p>
      <w:pPr/>
      <w:r>
        <w:rPr/>
        <w:t xml:space="preserve">Color: RAL 9005</w:t>
      </w:r>
    </w:p>
    <w:p>
      <w:pPr/>
      <w:r>
        <w:rPr/>
        <w:t xml:space="preserve">Dimensions:  mm x  mm x 36 mm</w:t>
      </w:r>
    </w:p>
    <w:p>
      <w:pPr/>
      <w:r>
        <w:rPr/>
        <w:t xml:space="preserve">Diameter: 100 mm</w:t>
      </w:r>
    </w:p>
    <w:p>
      <w:pPr/>
    </w:p>
    <w:p>
      <w:pPr/>
      <w:r>
        <w:rPr/>
        <w:t xml:space="preserve">Mounting method: 3-Phasen-Stromschiene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1,9 W</w:t>
      </w:r>
    </w:p>
    <w:p>
      <w:pPr/>
      <w:r>
        <w:rPr/>
        <w:t xml:space="preserve">Power non-maintained mode: 0,2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ILDL423SC-SW-3P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LSYS-H4, 4x h-lenses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2A3D3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2024-04-11T13:48:06+02:00</dcterms:created>
  <dcterms:modified xsi:type="dcterms:W3CDTF">2024-04-11T13:48:06+02:00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