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64/54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4,9 W</w:t>
      </w:r>
    </w:p>
    <w:p>
      <w:pPr/>
      <w:r>
        <w:rPr/>
        <w:t xml:space="preserve">Leistung Bereitschaftsbetrieb: 3,5 W</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NIMHHT4820Q, 4,8V/2,0Ah NiMH </w:t>
      </w:r>
    </w:p>
    <w:p>
      <w:pPr/>
    </w:p>
    <w:p>
      <w:pPr/>
      <w:r>
        <w:rPr/>
        <w:t xml:space="preserve">Artikelnummer: KCW003WL-COOLIP54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AF22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2024-02-25T18:49:21+01:00</dcterms:created>
  <dcterms:modified xsi:type="dcterms:W3CDTF">2024-02-25T18:49:21+01:00</dcterms:modified>
</cp:coreProperties>
</file>

<file path=docProps/custom.xml><?xml version="1.0" encoding="utf-8"?>
<Properties xmlns="http://schemas.openxmlformats.org/officeDocument/2006/custom-properties" xmlns:vt="http://schemas.openxmlformats.org/officeDocument/2006/docPropsVTypes"/>
</file>