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Nein</w:t>
      </w:r>
    </w:p>
    <w:p>
      <w:pPr/>
    </w:p>
    <w:p>
      <w:pPr/>
      <w:r>
        <w:rPr/>
        <w:t xml:space="preserve">Leistung Dauerbetrieb: 4,5 W</w:t>
      </w:r>
    </w:p>
    <w:p>
      <w:pPr/>
      <w:r>
        <w:rPr/>
        <w:t xml:space="preserve">Leistung Bereitschaftsbetrieb: 0,35 W</w:t>
      </w:r>
    </w:p>
    <w:p>
      <w:pPr/>
      <w:r>
        <w:rPr/>
        <w:t xml:space="preserve">Lichtstrom Notbetrieb: 300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KCW011SC-P-IP64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D308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2024-04-11T09:30:26+02:00</dcterms:created>
  <dcterms:modified xsi:type="dcterms:W3CDTF">2024-04-11T09:30:26+02:00</dcterms:modified>
</cp:coreProperties>
</file>

<file path=docProps/custom.xml><?xml version="1.0" encoding="utf-8"?>
<Properties xmlns="http://schemas.openxmlformats.org/officeDocument/2006/custom-properties" xmlns:vt="http://schemas.openxmlformats.org/officeDocument/2006/docPropsVTypes"/>
</file>