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65</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4,5 W</w:t>
      </w:r>
    </w:p>
    <w:p>
      <w:pPr/>
      <w:r>
        <w:rPr/>
        <w:t xml:space="preserve">Leistung Bereitschaftsbetrieb: 0,35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NIMHHT4820Q, 4,8V/2,0Ah NiMH</w:t>
      </w:r>
    </w:p>
    <w:p>
      <w:pPr/>
    </w:p>
    <w:p>
      <w:pPr/>
      <w:r>
        <w:rPr/>
        <w:t xml:space="preserve">Artikelnummer: KCW013.P-COOL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4" w:h="16837.795275591"/>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2020-01-15T02:05:12+01:00</dcterms:created>
  <dcterms:modified xsi:type="dcterms:W3CDTF">2020-01-15T02:05:12+01:00</dcterms:modified>
</cp:coreProperties>
</file>

<file path=docProps/custom.xml><?xml version="1.0" encoding="utf-8"?>
<Properties xmlns="http://schemas.openxmlformats.org/officeDocument/2006/custom-properties" xmlns:vt="http://schemas.openxmlformats.org/officeDocument/2006/docPropsVTypes"/>
</file>