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54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-15 à 40 °C</w:t>
      </w:r>
    </w:p>
    <w:p>
      <w:pPr/>
      <w:r>
        <w:rPr/>
        <w:t xml:space="preserve">Température permise en mode veille: -15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7,5 W</w:t>
      </w:r>
    </w:p>
    <w:p>
      <w:pPr/>
      <w:r>
        <w:rPr/>
        <w:t xml:space="preserve">Puissance en mode veille: 3,6 W</w:t>
      </w:r>
    </w:p>
    <w:p>
      <w:pPr/>
      <w:r>
        <w:rPr/>
        <w:t xml:space="preserve">Flux lumineux en mode de secours: 150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NIMH1208P, 12V/0,8Ah NiMH</w:t>
      </w:r>
    </w:p>
    <w:p>
      <w:pPr/>
    </w:p>
    <w:p>
      <w:pPr/>
      <w:r>
        <w:rPr/>
        <w:t xml:space="preserve">Numéro d'article: KCW013WLSE-EHE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  <w:r>
        <w:rPr/>
        <w:t xml:space="preserve">Numéro d'article: NIMH1208P,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CC12E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2024-04-11T09:30:07+02:00</dcterms:created>
  <dcterms:modified xsi:type="dcterms:W3CDTF">2024-04-11T09:30:07+02:00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