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60 mm x 340 mm x 170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64/20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5,2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~lbl-lv-LichtstromNotbetrieb: 300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KCW019ML-COOL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DWKCW, </w:t>
      </w:r>
    </w:p>
    <w:p>
      <w:pPr/>
      <w:r>
        <w:rPr/>
        <w:t xml:space="preserve">lbl-articleNumber: KC-IP65, </w:t>
      </w:r>
    </w:p>
    <w:p>
      <w:pPr/>
      <w:r>
        <w:rPr/>
        <w:t xml:space="preserve">lbl-articleNumber: KCER, </w:t>
      </w:r>
    </w:p>
    <w:p>
      <w:pPr/>
      <w:r>
        <w:rPr/>
        <w:t xml:space="preserve">lbl-articleNumber: KCWFH,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2024-03-08T10:49:13+01:00</dcterms:created>
  <dcterms:modified xsi:type="dcterms:W3CDTF">2024-03-08T10:49:13+01:00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