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/ de sécurité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mural. Luminaire à pictogramme avec jeu de pictogrammes enfichables, sans solvant, à l'intérieur (gauche, droite, bas, haut), compris dans la livraison standard. Utilisable simultanément comme luminaire de sécurité sans utilisation des pictogrammes avec le cache transparent inclus. </w:t>
      </w:r>
      <w:br/>
      <w:r>
        <w:rPr/>
        <w:t xml:space="preserve">Éclairage uniforme grâce à un réflecteur orienté et chromé.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avec commutateur d'adressage à 20 positions, pour un fonctionnement sur une installation à système centrale. Système de contrôle automatique conforme à la norme DIN EN 62034 type ER, en combinaison avec une installation de type MultiControl. Fonctions à respecter obligatoirement :</w:t>
      </w:r>
    </w:p>
    <w:p>
      <w:pPr>
        <w:pPr/>
        <w:numPr>
          <w:ilvl w:val="0"/>
          <w:numId w:val="2"/>
        </w:numPr>
      </w:pPr>
      <w:r>
        <w:rPr/>
        <w:t xml:space="preserve">Surveillance intégrée des luminaires individuels</w:t>
      </w:r>
    </w:p>
    <w:p>
      <w:pPr>
        <w:pPr/>
        <w:numPr>
          <w:ilvl w:val="0"/>
          <w:numId w:val="2"/>
        </w:numPr>
      </w:pPr>
      <w:r>
        <w:rPr/>
        <w:t xml:space="preserve">Fonction de gestionnaire de luminaires intégrée</w:t>
      </w:r>
    </w:p>
    <w:p>
      <w:pPr>
        <w:pPr/>
        <w:numPr>
          <w:ilvl w:val="0"/>
          <w:numId w:val="2"/>
        </w:numPr>
      </w:pPr>
      <w:r>
        <w:rPr/>
        <w:t xml:space="preserve">Possibilité de commutation individuelle en combinaison avec RP ELS - installation à système centrale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54</w:t>
      </w:r>
    </w:p>
    <w:p>
      <w:pPr/>
      <w:r>
        <w:rPr/>
        <w:t xml:space="preserve">Degré de résistance aux chocs IK: 6</w:t>
      </w:r>
    </w:p>
    <w:p>
      <w:pPr/>
      <w:r>
        <w:rPr/>
        <w:t xml:space="preserve">Température permise en mode contenu: -20 à 40 °C</w:t>
      </w:r>
    </w:p>
    <w:p>
      <w:pPr/>
      <w:r>
        <w:rPr/>
        <w:t xml:space="preserve">Température permise en mode veille: -20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5,2 W</w:t>
      </w:r>
    </w:p>
    <w:p>
      <w:pPr/>
      <w:r>
        <w:rPr/>
        <w:t xml:space="preserve">Puissance en mode veille: 1,1 W</w:t>
      </w:r>
    </w:p>
    <w:p>
      <w:pPr/>
      <w:r>
        <w:rPr/>
        <w:t xml:space="preserve">Flux lumineux en mode de secours: 300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KCW019ML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DWKCW, </w:t>
      </w:r>
    </w:p>
    <w:p>
      <w:pPr/>
      <w:r>
        <w:rPr/>
        <w:t xml:space="preserve">Numéro d'article: KC-IP65, </w:t>
      </w:r>
    </w:p>
    <w:p>
      <w:pPr/>
      <w:r>
        <w:rPr/>
        <w:t xml:space="preserve">Numéro d'article: KCER, </w:t>
      </w:r>
    </w:p>
    <w:p>
      <w:pPr/>
      <w:r>
        <w:rPr/>
        <w:t xml:space="preserve">Numéro d'article: KCWFH,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53FC3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2024-03-08T10:41:39+01:00</dcterms:created>
  <dcterms:modified xsi:type="dcterms:W3CDTF">2024-03-08T10:41:39+01:00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