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pour un montage universel au mur/au plafond, ainsi qu'une console murale avec l'adaptateur fourni. Avec sortie de lumière supplémentaire vers le bas. Boîtier s'ouvrant sans outils. Convient pour l'éclairage permanent ou de veille. Sécurité de planification grâce à l'utilisation variable et sans outil des pictogrammes sur place. Jeu de pictogrammes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70 mm x 260 mm x 155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43</w:t>
      </w:r>
    </w:p>
    <w:p>
      <w:pPr/>
      <w:r>
        <w:rPr/>
        <w:t xml:space="preserve">Degré de résistance aux chocs IK: 3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22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7,5 W</w:t>
      </w:r>
    </w:p>
    <w:p>
      <w:pPr/>
      <w:r>
        <w:rPr/>
        <w:t xml:space="preserve">Puissance en mode veille: 3,6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NIMH1208P, 12V/0,8Ah NiMH</w:t>
      </w:r>
    </w:p>
    <w:p>
      <w:pPr/>
    </w:p>
    <w:p>
      <w:pPr/>
      <w:r>
        <w:rPr/>
        <w:t xml:space="preserve">Numéro d'article: KDU013WL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BALL1,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BALLPLX-KD,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4DDA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2024-04-11T09:13:51+02:00</dcterms:created>
  <dcterms:modified xsi:type="dcterms:W3CDTF">2024-04-11T09:13:51+02:00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