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pour un montage universel au mur/au plafond, ainsi qu'une console murale avec l'adaptateur fourni. Avec sortie de lumière supplémentaire vers le bas. Boîtier s'ouvrant sans outils. Convient pour l'éclairage permanent ou de veille. Sécurité de planification grâce à l'utilisation variable et sans outil des pictogrammes sur place. Jeu de pictogrammes (gauche, droite, bas, haut) compris dans la livraison standard. 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70 mm x 260 mm x 155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43</w:t>
      </w:r>
    </w:p>
    <w:p>
      <w:pPr/>
      <w:r>
        <w:rPr/>
        <w:t xml:space="preserve">Degré de résistance aux chocs IK: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22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4,5 W</w:t>
      </w:r>
    </w:p>
    <w:p>
      <w:pPr/>
      <w:r>
        <w:rPr/>
        <w:t xml:space="preserve">Puissance en mode veille: 0,35 W</w:t>
      </w:r>
    </w:p>
    <w:p>
      <w:pPr/>
      <w:r>
        <w:rPr/>
        <w:t xml:space="preserve">Flux lumineux en mode de secours: 160 lm</w:t>
      </w:r>
    </w:p>
    <w:p>
      <w:pPr/>
      <w:r>
        <w:rPr/>
        <w:t xml:space="preserve">Temps d'autonomie: 8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NIMH9620Q, 9,6V/2,0Ah NiMH</w:t>
      </w:r>
    </w:p>
    <w:p>
      <w:pPr/>
    </w:p>
    <w:p>
      <w:pPr/>
      <w:r>
        <w:rPr/>
        <w:t xml:space="preserve">Numéro d'article: KDU018SC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BALL1, </w:t>
      </w:r>
    </w:p>
    <w:p>
      <w:pPr/>
      <w:r>
        <w:rPr/>
        <w:t xml:space="preserve">Numéro d'article: 2PW-EB, </w:t>
      </w:r>
    </w:p>
    <w:p>
      <w:pPr/>
      <w:r>
        <w:rPr/>
        <w:t xml:space="preserve">Numéro d'article: 2DW-EB, </w:t>
      </w:r>
    </w:p>
    <w:p>
      <w:pPr/>
      <w:r>
        <w:rPr/>
        <w:t xml:space="preserve">Numéro d'article: BALLPLX-KD,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21A5E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2024-04-11T09:12:20+02:00</dcterms:created>
  <dcterms:modified xsi:type="dcterms:W3CDTF">2024-04-11T09:12:20+02:00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