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Metal</w:t>
      </w:r>
    </w:p>
    <w:p>
      <w:pPr/>
      <w:r>
        <w:rPr/>
        <w:t xml:space="preserve">lbl-color: RAL 9003</w:t>
      </w:r>
    </w:p>
    <w:p>
      <w:pPr/>
      <w:r>
        <w:rPr/>
        <w:t xml:space="preserve">maße: 65 mm x 375 mm x 200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34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5,2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~lbl-lv-LichtstromNotbetrieb: 300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U8E019ML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U8BE,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2024-03-08T10:45:46+01:00</dcterms:created>
  <dcterms:modified xsi:type="dcterms:W3CDTF">2024-03-08T10:45:46+01:00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