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für die Montage in konventionellen Installations-Doppeldosen. Die Zink-Druckguss-Blende wird ohne von außen sichtbare Befestigung arretiert. Die in der Linse eingebrachte Status-LED integriert sich in die Gehäuseharmonie.</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Mit integriertem Überwachungsbaustein mit 20-stelligem Adressierschalter, für den Betrieb an einem zentralen Stromversorgungssystem. Automatisches Prüfsystem gemäß DIN EN 62034 Typ ER, in Verbindung mit einer Anlage vom Typ MultiControl. Funktionen sind bindend einzuhalten:</w:t>
      </w:r>
    </w:p>
    <w:p>
      <w:pPr>
        <w:pPr/>
        <w:numPr>
          <w:ilvl w:val="0"/>
          <w:numId w:val="2"/>
        </w:numPr>
      </w:pPr>
      <w:r>
        <w:rPr/>
        <w:t xml:space="preserve">Integrierte Einzelleuchtenüberwachung</w:t>
      </w:r>
    </w:p>
    <w:p>
      <w:pPr>
        <w:pPr/>
        <w:numPr>
          <w:ilvl w:val="0"/>
          <w:numId w:val="2"/>
        </w:numPr>
      </w:pPr>
      <w:r>
        <w:rPr/>
        <w:t xml:space="preserve">Integrierte Leuchtenmanagerfunktion</w:t>
      </w:r>
    </w:p>
    <w:p>
      <w:pPr>
        <w:pPr/>
        <w:numPr>
          <w:ilvl w:val="0"/>
          <w:numId w:val="2"/>
        </w:numPr>
      </w:pPr>
      <w:r>
        <w:rPr/>
        <w:t xml:space="preserve">Einzelschaltbarkeit in Verbindung mit zentralem Stromversorgungssystem von RP</w:t>
      </w:r>
    </w:p>
    <w:p>
      <w:pPr/>
      <w:r>
        <w:rPr/>
        <w:t xml:space="preserve">Material: Zink-Druckguss</w:t>
      </w:r>
    </w:p>
    <w:p>
      <w:pPr/>
      <w:r>
        <w:rPr/>
        <w:t xml:space="preserve">Farbe: Edelstahl gebürstet</w:t>
      </w:r>
    </w:p>
    <w:p>
      <w:pPr/>
      <w:r>
        <w:rPr/>
        <w:t xml:space="preserve">Maße: 20 mm x 161 mm x 107 mm</w:t>
      </w:r>
    </w:p>
    <w:p>
      <w:pPr/>
    </w:p>
    <w:p>
      <w:pPr/>
      <w:r>
        <w:rPr/>
        <w:t xml:space="preserve">Montageart: Wandeinbau</w:t>
      </w:r>
    </w:p>
    <w:p>
      <w:pPr/>
      <w:r>
        <w:rPr/>
        <w:t xml:space="preserve">Schutzklasse: 2</w:t>
      </w:r>
    </w:p>
    <w:p>
      <w:pPr/>
      <w:r>
        <w:rPr/>
        <w:t xml:space="preserve">Schutzart (IP): 20</w:t>
      </w:r>
    </w:p>
    <w:p>
      <w:pPr/>
      <w:r>
        <w:rPr/>
        <w:t xml:space="preserve">Stoßfestigkeitsgrad IK: 7</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4,3 W</w:t>
      </w:r>
    </w:p>
    <w:p>
      <w:pPr/>
      <w:r>
        <w:rPr/>
        <w:t xml:space="preserve">Leistung Bereitschaftsbetrieb: 0,7 W</w:t>
      </w:r>
    </w:p>
    <w:p>
      <w:pPr/>
      <w:r>
        <w:rPr/>
        <w:t xml:space="preserve">Lichtstrom Notbetrieb: 420 lm</w:t>
      </w:r>
    </w:p>
    <w:p>
      <w:pPr/>
      <w:r>
        <w:rPr/>
        <w:t xml:space="preserve">Überbrückungszeit (h): CPS</w:t>
      </w:r>
    </w:p>
    <w:p>
      <w:pPr/>
    </w:p>
    <w:p>
      <w:pPr/>
      <w:r>
        <w:rPr/>
        <w:t xml:space="preserve">Eingangsspannung AC: 230 V</w:t>
      </w:r>
    </w:p>
    <w:p>
      <w:pPr/>
      <w:r>
        <w:rPr/>
        <w:t xml:space="preserve">Anschlussquerschnitt: 2.5 mm</w:t>
      </w:r>
    </w:p>
    <w:p>
      <w:pPr/>
    </w:p>
    <w:p>
      <w:pPr/>
      <w:r>
        <w:rPr/>
        <w:t xml:space="preserve">Batterie: </w:t>
      </w:r>
    </w:p>
    <w:p>
      <w:pPr/>
    </w:p>
    <w:p>
      <w:pPr/>
      <w:r>
        <w:rPr/>
        <w:t xml:space="preserve">Artikelnummer: WEF029ML-E</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E8E5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2024-03-13T08:04:44+01:00</dcterms:created>
  <dcterms:modified xsi:type="dcterms:W3CDTF">2024-03-13T08:04:44+01:00</dcterms:modified>
</cp:coreProperties>
</file>

<file path=docProps/custom.xml><?xml version="1.0" encoding="utf-8"?>
<Properties xmlns="http://schemas.openxmlformats.org/officeDocument/2006/custom-properties" xmlns:vt="http://schemas.openxmlformats.org/officeDocument/2006/docPropsVTypes"/>
</file>