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Downlight LED à encastrer, série BASE. Pivote dans deux directions. Boîtier en tôle d’acier, blanc, avec revêtement par poudre.  Réflecteur en aluminium avec 2 angles de rayonnement (24° et 40°). Module de commande commutable ou intensité variable DALI, externe UGR < 19 et compatible avec des écrans selon EN 12464-1. Modèle disponible avec commande Bluetooth CASAMBI®. Compatibilité DC sur demande. Ra > 95 sur demande.</w:t></w:r><w:br/><w:r><w:rPr/><w:t xml:space="preserve"> </w:t></w:r><w:br/></w:p><w:p><w:pPr/></w:p><w:p><w:pPr/><w:r><w:rPr/><w:t xml:space="preserve">Tests d'acceptation:</w:t></w:r></w:p><w:p><w:pPr/><w:r><w:rPr/><w:t xml:space="preserve">Classe de protection: II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15 W</w:t></w:r></w:p><w:p><w:pPr/></w:p><w:p><w:pPr/><w:r><w:rPr/><w:t xml:space="preserve">Données d'éclairage:</w:t></w:r></w:p><w:p><w:pPr/><w:r><w:rPr/><w:t xml:space="preserve">Flux lumineux nominal: 1.950 lm</w:t></w:r></w:p><w:p><w:pPr/><w:r><w:rPr/><w:t xml:space="preserve">Température de couleur: 3000 K</w:t></w:r></w:p><w:p><w:pPr/><w:r><w:rPr/><w:t xml:space="preserve">UGR: 15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hauteur: 90 mm</w:t></w:r></w:p><w:p><w:pPr/><w:r><w:rPr/><w:t xml:space="preserve">Découpe au plafond ø: 155 mm</w:t></w:r></w:p><w:p><w:pPr/><w:r><w:rPr/><w:t xml:space="preserve">Dimensions du produit ø: 162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2024-02-25T20:08:12+01:00</dcterms:created>
  <dcterms:modified xsi:type="dcterms:W3CDTF">2024-02-25T20:08:12+01:00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