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TAURE. IP54. Gehäuse aus Aluminium, weiß, pulverbeschichtet. Glatter Aluminiumreflektor. Betriebsgerät schaltbar oder DALI dimmbar, extern. UGR < 19 und Bildschirmgerecht gemäß EN 12464-1. Ausführung mit Casambi Bluetooth Steuerung verfügbar. DC Tauglichkeit auf Anfrage. Ra > 90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54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14 W</w:t></w:r></w:p><w:p><w:pPr/></w:p><w:p><w:pPr/><w:r><w:rPr/><w:t xml:space="preserve">Lichttechnische Daten:</w:t></w:r></w:p><w:p><w:pPr/><w:r><w:rPr/><w:t xml:space="preserve">Bemessungslichtstrom: 1.950 lm</w:t></w:r></w:p><w:p><w:pPr/><w:r><w:rPr/><w:t xml:space="preserve">Farbtemperatur: 4000 K</w:t></w:r></w:p><w:p><w:pPr/><w:r><w:rPr/><w:t xml:space="preserve">UGR: 17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210 mm</w:t></w:r></w:p><w:p><w:pPr/><w:r><w:rPr/><w:t xml:space="preserve">Produktmaße ø: 226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2024-02-25T19:39:27+01:00</dcterms:created>
  <dcterms:modified xsi:type="dcterms:W3CDTF">2024-02-25T19:39:27+01:00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