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ceiling- and wall-mounted luminaire, MAVS. Housing made from aluminium, white, powder-coated. Diffuser made from plastic (PMMA), opal, UV-stabilised. Operating unit can be switched or dimmed (DALI dimmer), integrated. Version with</w:t>
      </w:r>
      <w:br/>
      <w:r>
        <w:rPr/>
        <w:t xml:space="preserve">CASAMBI® Bluetooth control available. DC compatible.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26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2.750 lm</w:t>
      </w:r>
    </w:p>
    <w:p>
      <w:pPr/>
      <w:r>
        <w:rPr/>
        <w:t xml:space="preserve">Colour temperature: 4000 K</w:t>
      </w:r>
    </w:p>
    <w:p>
      <w:pPr/>
      <w:r>
        <w:rPr/>
        <w:t xml:space="preserve">UGR: 26.2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850 mm</w:t>
      </w:r>
    </w:p>
    <w:p>
      <w:pPr/>
      <w:r>
        <w:rPr/>
        <w:t xml:space="preserve">Width (B): 59 mm</w:t>
      </w:r>
    </w:p>
    <w:p>
      <w:pPr/>
      <w:r>
        <w:rPr/>
        <w:t xml:space="preserve">Height (H): 79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2024-02-25T20:21:08+01:00</dcterms:created>
  <dcterms:modified xsi:type="dcterms:W3CDTF">2024-02-25T20:21:08+01:00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